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ind w:left="5245" w:right="0" w:hanging="0"/>
        <w:jc w:val="center"/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r>
    </w:p>
    <w:p>
      <w:pPr>
        <w:pStyle w:val="Normal"/>
        <w:spacing w:lineRule="auto" w:line="240" w:before="0" w:after="0"/>
        <w:ind w:left="5245" w:right="0" w:hanging="0"/>
        <w:jc w:val="center"/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r>
    </w:p>
    <w:p>
      <w:pPr>
        <w:pStyle w:val="Normal"/>
        <w:spacing w:lineRule="auto" w:line="240" w:before="0" w:after="0"/>
        <w:ind w:left="1416" w:right="0" w:firstLine="708"/>
        <w:jc w:val="right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5953" w:right="0" w:firstLine="419"/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  <w:t xml:space="preserve">Додаток </w:t>
      </w:r>
    </w:p>
    <w:p>
      <w:pPr>
        <w:pStyle w:val="Normal"/>
        <w:spacing w:lineRule="auto" w:line="240" w:before="0" w:after="0"/>
        <w:ind w:left="0" w:right="0" w:firstLine="708"/>
        <w:jc w:val="right"/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  <w:t>до рішення</w:t>
      </w:r>
      <w:r>
        <w:rPr>
          <w:rFonts w:eastAsia="Times New Roman" w:cs="Times New Roman"/>
          <w:sz w:val="18"/>
          <w:szCs w:val="18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  <w:t xml:space="preserve">Шевченківської  районної </w:t>
      </w:r>
    </w:p>
    <w:p>
      <w:pPr>
        <w:pStyle w:val="Normal"/>
        <w:tabs>
          <w:tab w:val="left" w:pos="7655" w:leader="none"/>
        </w:tabs>
        <w:spacing w:lineRule="auto" w:line="240" w:before="0" w:after="0"/>
        <w:ind w:left="6372" w:right="0" w:hanging="0"/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  <w:t xml:space="preserve">у м. Дніпропетровськ  ради </w:t>
      </w:r>
    </w:p>
    <w:p>
      <w:pPr>
        <w:pStyle w:val="Normal"/>
        <w:tabs>
          <w:tab w:val="left" w:pos="7655" w:leader="none"/>
        </w:tabs>
        <w:spacing w:lineRule="auto" w:line="240" w:before="0" w:after="0"/>
        <w:ind w:left="6372" w:right="0" w:hanging="0"/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  <w:t>№</w:t>
      </w: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  <w:t xml:space="preserve">____від «__»__________2016 року </w:t>
      </w:r>
    </w:p>
    <w:p>
      <w:pPr>
        <w:pStyle w:val="Normal"/>
        <w:tabs>
          <w:tab w:val="left" w:pos="7655" w:leader="none"/>
        </w:tabs>
        <w:spacing w:lineRule="auto" w:line="240" w:before="0" w:after="0"/>
        <w:ind w:left="6372" w:right="0" w:firstLine="1283"/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r>
    </w:p>
    <w:p>
      <w:pPr>
        <w:pStyle w:val="Normal"/>
        <w:tabs>
          <w:tab w:val="left" w:pos="7655" w:leader="none"/>
        </w:tabs>
        <w:spacing w:lineRule="auto" w:line="240" w:before="0" w:after="0"/>
        <w:ind w:left="6372" w:right="0" w:firstLine="1283"/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r>
    </w:p>
    <w:p>
      <w:pPr>
        <w:pStyle w:val="Normal"/>
        <w:tabs>
          <w:tab w:val="left" w:pos="7655" w:leader="none"/>
        </w:tabs>
        <w:spacing w:lineRule="auto" w:line="240" w:before="0" w:after="0"/>
        <w:ind w:left="6372" w:right="0" w:firstLine="1283"/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r>
    </w:p>
    <w:p>
      <w:pPr>
        <w:pStyle w:val="Normal"/>
        <w:tabs>
          <w:tab w:val="left" w:pos="7655" w:leader="none"/>
        </w:tabs>
        <w:spacing w:lineRule="auto" w:line="240" w:before="0" w:after="0"/>
        <w:ind w:left="6372" w:right="0" w:firstLine="1283"/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r>
    </w:p>
    <w:p>
      <w:pPr>
        <w:pStyle w:val="Normal"/>
        <w:tabs>
          <w:tab w:val="left" w:pos="7655" w:leader="none"/>
        </w:tabs>
        <w:spacing w:lineRule="auto" w:line="240" w:before="0" w:after="0"/>
        <w:ind w:left="6372" w:right="0" w:firstLine="1283"/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r>
    </w:p>
    <w:p>
      <w:pPr>
        <w:pStyle w:val="Normal"/>
        <w:tabs>
          <w:tab w:val="left" w:pos="7655" w:leader="none"/>
        </w:tabs>
        <w:spacing w:lineRule="auto" w:line="240" w:before="0" w:after="0"/>
        <w:ind w:left="6372" w:right="0" w:firstLine="1283"/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r>
    </w:p>
    <w:p>
      <w:pPr>
        <w:pStyle w:val="Normal"/>
        <w:tabs>
          <w:tab w:val="left" w:pos="7655" w:leader="none"/>
        </w:tabs>
        <w:spacing w:lineRule="auto" w:line="240" w:before="0" w:after="0"/>
        <w:ind w:left="6372" w:right="0" w:firstLine="1283"/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r>
    </w:p>
    <w:p>
      <w:pPr>
        <w:pStyle w:val="Normal"/>
        <w:tabs>
          <w:tab w:val="left" w:pos="7655" w:leader="none"/>
        </w:tabs>
        <w:spacing w:lineRule="auto" w:line="240" w:before="0" w:after="0"/>
        <w:ind w:left="6372" w:right="0" w:firstLine="1283"/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>ЗВЕРНЕННЯ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eastAsia="Times New Roman" w:cs="Times New Roman" w:ascii="Times New Roman" w:hAnsi="Times New Roman"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депутата Шевченківської  районної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eastAsia="Times New Roman" w:cs="Times New Roman" w:ascii="Times New Roman" w:hAnsi="Times New Roman"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у м. Дніпропетровськ</w:t>
      </w: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у</w:t>
      </w: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 xml:space="preserve">  ради до Прем’єр-міністра України</w:t>
      </w:r>
    </w:p>
    <w:p>
      <w:pPr>
        <w:pStyle w:val="Normal"/>
        <w:spacing w:lineRule="auto" w:line="240" w:before="0" w:after="0"/>
        <w:ind w:left="0" w:right="0" w:firstLine="708"/>
        <w:jc w:val="right"/>
        <w:rPr>
          <w:rFonts w:eastAsia="Times New Roman" w:cs="Times New Roman"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right"/>
        <w:rPr>
          <w:rFonts w:eastAsia="Times New Roman" w:cs="Times New Roman"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sz w:val="20"/>
          <w:szCs w:val="20"/>
          <w:lang w:val="uk-UA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uk-UA"/>
        </w:rPr>
        <w:t>Про  оподаткування пенсій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>У 2016 році продовжується оподаткування пенсій на 15 %. Це стосується в основному пенсіонерів, які отримують підвищені розміри пенсій, оскільки працювали у шкідливих умовах, громадян, які постраждали внаслідок Чорнобильської катастрофи, шахтарів та інших категорій громадян.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ab/>
        <w:t>Разом з тим, більшість таких громадян у період роботи втратили своє здоров’я і вимушені витрачати значні кошти на придбання ліків та на лікування, оскільки у закладах охорони здоров’я немає коштів для безоплатного лікування.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 xml:space="preserve">В той же час багатомільйонні прибутки олігархів (дивіденди) оподатковуються в розмірі 5 відсотків.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>Така політика є антигуманною та є порушенням статті 22 Конституції України.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Враховуючи викладене, прошу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:</w:t>
      </w: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 xml:space="preserve"> 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>забезпечити в установленому законодавством порядку розгляд та прийняття законопроекту у Верховній Раді України, реєстраційний номер 2682 від 21.04.2015, яким передбачено припинення оподаткування пенсій для частини пенсіонерів.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ab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Депутат </w:t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Шевченківської  районної 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/>
          <w:sz w:val="22"/>
          <w:szCs w:val="22"/>
          <w:lang w:val="uk-UA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val="uk-UA"/>
        </w:rPr>
        <w:t>у м. Дніпропетровськ</w:t>
      </w:r>
      <w:r>
        <w:rPr>
          <w:rFonts w:eastAsia="Times New Roman" w:cs="Times New Roman" w:ascii="Times New Roman" w:hAnsi="Times New Roman"/>
          <w:b/>
          <w:sz w:val="22"/>
          <w:szCs w:val="22"/>
          <w:lang w:val="uk-UA"/>
        </w:rPr>
        <w:t>у</w:t>
      </w:r>
      <w:r>
        <w:rPr>
          <w:rFonts w:eastAsia="Times New Roman" w:cs="Times New Roman" w:ascii="Times New Roman" w:hAnsi="Times New Roman"/>
          <w:b/>
          <w:sz w:val="22"/>
          <w:szCs w:val="22"/>
          <w:lang w:val="uk-UA"/>
        </w:rPr>
        <w:t xml:space="preserve"> ради  </w:t>
        <w:tab/>
        <w:tab/>
        <w:tab/>
        <w:tab/>
        <w:tab/>
        <w:tab/>
        <w:tab/>
        <w:t>В.А. Гвоздікова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5"/>
        <w:jc w:val="both"/>
        <w:rPr>
          <w:rFonts w:eastAsia="Times New Roman" w:cs="Times New Roman"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/>
      </w:r>
    </w:p>
    <w:sectPr>
      <w:type w:val="nextPage"/>
      <w:pgSz w:w="11906" w:h="16838"/>
      <w:pgMar w:left="1701" w:right="707" w:header="0" w:top="142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iberation Sans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iberation Sans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eastAsia="Times New Roma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Liberation Sans" w:cs="Lucida 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Lucida 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557AA-1406-415B-8872-0D8D0EA2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2016-05-24T00:21:00Z</dcterms:created>
  <dc:creator>Kristina</dc:creator>
  <dc:language>ru-RU</dc:language>
  <cp:lastModifiedBy>Kristina</cp:lastModifiedBy>
  <cp:lastPrinted>2016-05-24T11:21:13Z</cp:lastPrinted>
  <dcterms:modified xsi:type="dcterms:W3CDTF">2016-05-24T00:21:00Z</dcterms:modified>
  <cp:revision>2</cp:revision>
</cp:coreProperties>
</file>